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B4C6" w14:textId="77777777" w:rsidR="003E6AA2" w:rsidRPr="00C369D5" w:rsidRDefault="003E6AA2" w:rsidP="003E6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Международная конференция</w:t>
      </w:r>
    </w:p>
    <w:p w14:paraId="33A904BE" w14:textId="77777777" w:rsidR="003E6AA2" w:rsidRPr="00C369D5" w:rsidRDefault="003E6AA2" w:rsidP="003E6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"Эффективное глобальное управление для устойчивого мира ".</w:t>
      </w:r>
    </w:p>
    <w:p w14:paraId="7627CDC1" w14:textId="77777777" w:rsidR="003E6AA2" w:rsidRPr="00C369D5" w:rsidRDefault="003E6AA2" w:rsidP="003E6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14-15 октября 2021 года</w:t>
      </w:r>
    </w:p>
    <w:p w14:paraId="700D520E" w14:textId="11A64C02" w:rsidR="003E6AA2" w:rsidRPr="00C369D5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проведения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 xml:space="preserve">: Российская академия народного хозяйства и государственной службы при Президенте Российской Федерации (РАНХиГС), проспект Вернадского, д. 82, строение </w:t>
      </w:r>
      <w:r w:rsidR="00AF2F5D" w:rsidRPr="009C7FE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>, Москва, Россия.</w:t>
      </w:r>
    </w:p>
    <w:p w14:paraId="4A11E77C" w14:textId="77777777" w:rsidR="003E6AA2" w:rsidRPr="00C369D5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Рабочие языки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 xml:space="preserve">: русский и английский </w:t>
      </w:r>
    </w:p>
    <w:p w14:paraId="2BEA5864" w14:textId="6A4C2F49" w:rsidR="003E6AA2" w:rsidRPr="00937C5C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C5C">
        <w:rPr>
          <w:rFonts w:ascii="Times New Roman" w:hAnsi="Times New Roman" w:cs="Times New Roman"/>
          <w:sz w:val="24"/>
          <w:szCs w:val="24"/>
          <w:lang w:val="ru-RU"/>
        </w:rPr>
        <w:t>Шестая ежегодная конференция РАНХиГС, посвященная будущему глобального управления, организуется Центром исследований международных институтов Российской академии народного хозяйства и государственной службы при Президенте Российской Федерации (</w:t>
      </w:r>
      <w:r w:rsidRPr="00937C5C">
        <w:rPr>
          <w:rFonts w:ascii="Times New Roman" w:hAnsi="Times New Roman" w:cs="Times New Roman"/>
          <w:sz w:val="24"/>
          <w:szCs w:val="24"/>
        </w:rPr>
        <w:t>https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37C5C">
        <w:rPr>
          <w:rFonts w:ascii="Times New Roman" w:hAnsi="Times New Roman" w:cs="Times New Roman"/>
          <w:sz w:val="24"/>
          <w:szCs w:val="24"/>
        </w:rPr>
        <w:t>www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ranepa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ciir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ranepa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17FC7" w:rsidRPr="00937C5C">
        <w:rPr>
          <w:rFonts w:ascii="Times New Roman" w:hAnsi="Times New Roman" w:cs="Times New Roman"/>
          <w:sz w:val="24"/>
          <w:szCs w:val="24"/>
          <w:lang w:val="ru-RU"/>
        </w:rPr>
        <w:t>в партнерстве с Итальянским институтом международных политических исследований (</w: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fldChar w:fldCharType="begin"/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HYPERLINK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https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www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ispionline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it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instrText>en</w:instrText>
      </w:r>
      <w:r w:rsidR="00377768" w:rsidRPr="00377768">
        <w:rPr>
          <w:rStyle w:val="a6"/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fldChar w:fldCharType="separate"/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</w:rPr>
        <w:t>https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  <w:lang w:val="ru-RU"/>
        </w:rPr>
        <w:t>://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</w:rPr>
        <w:t>www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  <w:lang w:val="ru-RU"/>
        </w:rPr>
        <w:t>.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</w:rPr>
        <w:t>ispionline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  <w:lang w:val="ru-RU"/>
        </w:rPr>
        <w:t>.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</w:rPr>
        <w:t>it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  <w:lang w:val="ru-RU"/>
        </w:rPr>
        <w:t>/</w:t>
      </w:r>
      <w:r w:rsidR="00B17FC7" w:rsidRPr="00937C5C">
        <w:rPr>
          <w:rStyle w:val="a6"/>
          <w:rFonts w:ascii="Times New Roman" w:hAnsi="Times New Roman" w:cs="Times New Roman"/>
          <w:sz w:val="24"/>
          <w:szCs w:val="24"/>
        </w:rPr>
        <w:t>en</w:t>
      </w:r>
      <w:r w:rsidR="00377768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r w:rsidR="00B17FC7"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3C383A" w:rsidRPr="00937C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17FC7" w:rsidRPr="00937C5C">
        <w:rPr>
          <w:rFonts w:ascii="Times New Roman" w:hAnsi="Times New Roman" w:cs="Times New Roman"/>
          <w:sz w:val="24"/>
          <w:szCs w:val="24"/>
          <w:lang w:val="ru-RU"/>
        </w:rPr>
        <w:t>Экспертной двадцаткой»</w:t>
      </w:r>
      <w:r w:rsidR="00A7152A"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hyperlink r:id="rId6" w:history="1">
        <w:r w:rsidR="00A7152A" w:rsidRPr="00937C5C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https://www.t20italy.org/</w:t>
        </w:r>
      </w:hyperlink>
      <w:r w:rsidR="00A7152A" w:rsidRPr="00937C5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17FC7"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152A"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проводится 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при экспертной поддержке </w:t>
      </w:r>
      <w:r w:rsidR="00BA6F2B" w:rsidRPr="00937C5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Национального комитета по исследованию БРИКС</w:t>
      </w:r>
      <w:r w:rsidR="00BA6F2B" w:rsidRPr="00937C5C">
        <w:rPr>
          <w:rFonts w:ascii="Times New Roman" w:hAnsi="Times New Roman" w:cs="Times New Roman"/>
          <w:lang w:val="ru-RU"/>
        </w:rPr>
        <w:t xml:space="preserve"> (</w:t>
      </w:r>
      <w:r w:rsidR="00BA6F2B" w:rsidRPr="00937C5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http://www.nkibrics.ru/</w:t>
      </w:r>
      <w:proofErr w:type="gramStart"/>
      <w:r w:rsidR="00BA6F2B" w:rsidRPr="00937C5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), </w:t>
      </w:r>
      <w:r w:rsidR="00BA6F2B" w:rsidRPr="00937C5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A6F2B"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937C5C">
        <w:rPr>
          <w:rFonts w:ascii="Times New Roman" w:hAnsi="Times New Roman" w:cs="Times New Roman"/>
          <w:sz w:val="24"/>
          <w:szCs w:val="24"/>
          <w:lang w:val="ru-RU"/>
        </w:rPr>
        <w:t>Исследовательской группы «Группы двадцати» Университета Торонто (</w:t>
      </w:r>
      <w:r w:rsidRPr="00937C5C">
        <w:rPr>
          <w:rFonts w:ascii="Times New Roman" w:hAnsi="Times New Roman" w:cs="Times New Roman"/>
          <w:sz w:val="24"/>
          <w:szCs w:val="24"/>
        </w:rPr>
        <w:t>http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37C5C">
        <w:rPr>
          <w:rFonts w:ascii="Times New Roman" w:hAnsi="Times New Roman" w:cs="Times New Roman"/>
          <w:sz w:val="24"/>
          <w:szCs w:val="24"/>
        </w:rPr>
        <w:t>www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7C5C">
        <w:rPr>
          <w:rFonts w:ascii="Times New Roman" w:hAnsi="Times New Roman" w:cs="Times New Roman"/>
          <w:sz w:val="24"/>
          <w:szCs w:val="24"/>
        </w:rPr>
        <w:t>g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20.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utoronto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7C5C">
        <w:rPr>
          <w:rFonts w:ascii="Times New Roman" w:hAnsi="Times New Roman" w:cs="Times New Roman"/>
          <w:sz w:val="24"/>
          <w:szCs w:val="24"/>
        </w:rPr>
        <w:t>ca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/) и Исследовательской группы БРИКС (</w:t>
      </w:r>
      <w:r w:rsidRPr="00937C5C">
        <w:rPr>
          <w:rFonts w:ascii="Times New Roman" w:hAnsi="Times New Roman" w:cs="Times New Roman"/>
          <w:sz w:val="24"/>
          <w:szCs w:val="24"/>
        </w:rPr>
        <w:t>http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37C5C">
        <w:rPr>
          <w:rFonts w:ascii="Times New Roman" w:hAnsi="Times New Roman" w:cs="Times New Roman"/>
          <w:sz w:val="24"/>
          <w:szCs w:val="24"/>
        </w:rPr>
        <w:t>www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brics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37C5C">
        <w:rPr>
          <w:rFonts w:ascii="Times New Roman" w:hAnsi="Times New Roman" w:cs="Times New Roman"/>
          <w:sz w:val="24"/>
          <w:szCs w:val="24"/>
        </w:rPr>
        <w:t>utoronto</w:t>
      </w:r>
      <w:proofErr w:type="spellEnd"/>
      <w:r w:rsidRPr="00937C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7C5C">
        <w:rPr>
          <w:rFonts w:ascii="Times New Roman" w:hAnsi="Times New Roman" w:cs="Times New Roman"/>
          <w:sz w:val="24"/>
          <w:szCs w:val="24"/>
        </w:rPr>
        <w:t>ca</w:t>
      </w:r>
      <w:r w:rsidRPr="00937C5C">
        <w:rPr>
          <w:rFonts w:ascii="Times New Roman" w:hAnsi="Times New Roman" w:cs="Times New Roman"/>
          <w:sz w:val="24"/>
          <w:szCs w:val="24"/>
          <w:lang w:val="ru-RU"/>
        </w:rPr>
        <w:t xml:space="preserve">/). </w:t>
      </w:r>
    </w:p>
    <w:p w14:paraId="584DADB9" w14:textId="77777777" w:rsidR="003E6AA2" w:rsidRPr="00A7152A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C5C">
        <w:rPr>
          <w:rFonts w:ascii="Times New Roman" w:hAnsi="Times New Roman" w:cs="Times New Roman"/>
          <w:sz w:val="24"/>
          <w:szCs w:val="24"/>
          <w:lang w:val="ru-RU"/>
        </w:rPr>
        <w:t>Конференция пройдет в смешанном формате (видеоконференцсвязь и офлайн) и соберет представителей академического сообщества, международных институтов</w:t>
      </w:r>
      <w:r w:rsidRPr="00A7152A">
        <w:rPr>
          <w:rFonts w:ascii="Times New Roman" w:hAnsi="Times New Roman" w:cs="Times New Roman"/>
          <w:sz w:val="24"/>
          <w:szCs w:val="24"/>
          <w:lang w:val="ru-RU"/>
        </w:rPr>
        <w:t xml:space="preserve">, аналитических центров и государственных структур из стран "Группы двадцати" и БРИКС. </w:t>
      </w:r>
    </w:p>
    <w:p w14:paraId="370E714B" w14:textId="77777777" w:rsidR="003E6AA2" w:rsidRPr="00C369D5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для обсуждения</w:t>
      </w:r>
    </w:p>
    <w:p w14:paraId="401D10FB" w14:textId="3F36931F" w:rsidR="003E6AA2" w:rsidRPr="00C369D5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sz w:val="24"/>
          <w:szCs w:val="24"/>
          <w:lang w:val="ru-RU"/>
        </w:rPr>
        <w:t xml:space="preserve">2021 год дал надежду на восстановление мировой экономики. Однако темпы </w:t>
      </w:r>
      <w:r w:rsidR="007B417A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восстановления 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>будут зависеть от способности обеспечить усп</w:t>
      </w:r>
      <w:r w:rsidR="00C1265E">
        <w:rPr>
          <w:rFonts w:ascii="Times New Roman" w:hAnsi="Times New Roman" w:cs="Times New Roman"/>
          <w:sz w:val="24"/>
          <w:szCs w:val="24"/>
          <w:lang w:val="ru-RU"/>
        </w:rPr>
        <w:t xml:space="preserve">ешность вакцинации, инвестиции в устойчивый рост 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>и управление многочисленными рисками, усугубляемыми последствиями пандемии</w:t>
      </w:r>
      <w:r w:rsidR="007B4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>и увеличивающимся</w:t>
      </w:r>
      <w:r w:rsidR="008138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65E">
        <w:rPr>
          <w:rFonts w:ascii="Times New Roman" w:hAnsi="Times New Roman" w:cs="Times New Roman"/>
          <w:sz w:val="24"/>
          <w:szCs w:val="24"/>
          <w:lang w:val="ru-RU"/>
        </w:rPr>
        <w:t>цифровым разрывом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 xml:space="preserve">. Эффективное глобальное управление критически значимо для преодоления проблем отставания в достижении ЦУР, изменения климата, неустойчивости частных и государственных долговых обязательств, структурного неравенства, не отвечающего потребностям времени управления цифровыми технологиями и данными, торможения реформы многосторонних торговой и финансовой систем и других вызовов. </w:t>
      </w:r>
    </w:p>
    <w:p w14:paraId="362132A5" w14:textId="3C80D441" w:rsidR="003E6AA2" w:rsidRPr="00C369D5" w:rsidRDefault="003E6AA2" w:rsidP="003E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sz w:val="24"/>
          <w:szCs w:val="24"/>
          <w:lang w:val="ru-RU"/>
        </w:rPr>
        <w:t>Участники конференции обсудят наиболее значимые риски. На пленарном заседании основное внимание будет уделено состоянию глобального управления, в том числе, приоритетам предстоящего саммита "Группы двадцати"</w:t>
      </w:r>
      <w:r w:rsidR="008138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 xml:space="preserve"> задачам по </w:t>
      </w:r>
      <w:r w:rsidR="00F43B4F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обеспечению зеленого восстановления, </w:t>
      </w:r>
      <w:r w:rsidRPr="00C369D5">
        <w:rPr>
          <w:rFonts w:ascii="Times New Roman" w:hAnsi="Times New Roman" w:cs="Times New Roman"/>
          <w:sz w:val="24"/>
          <w:szCs w:val="24"/>
          <w:lang w:val="ru-RU"/>
        </w:rPr>
        <w:t>укреплению международного сотрудничества для управления важнейшими вызовами и создания глобальных общественных благ. В ходе последующих сессий будут рассмотрены вопросы, касающиеся реализации ЦУР, международной финансовой и валютной системы, изменения климата, управления цифровой экономикой.</w:t>
      </w:r>
    </w:p>
    <w:p w14:paraId="32A0A608" w14:textId="77777777" w:rsidR="003E6AA2" w:rsidRPr="00B17FC7" w:rsidRDefault="003E6AA2" w:rsidP="00CA61B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08B8DC" w14:textId="49C00702" w:rsidR="004549D9" w:rsidRPr="00C369D5" w:rsidRDefault="003E6AA2" w:rsidP="003E6AA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</w:t>
      </w:r>
    </w:p>
    <w:p w14:paraId="7DA8A3D7" w14:textId="47EE1FD0" w:rsidR="004549D9" w:rsidRPr="00C369D5" w:rsidRDefault="004549D9" w:rsidP="003E6AA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 октября (13.00-17.00 </w:t>
      </w:r>
      <w:r w:rsidRPr="00C369D5">
        <w:rPr>
          <w:rFonts w:ascii="Times New Roman" w:hAnsi="Times New Roman" w:cs="Times New Roman"/>
          <w:b/>
          <w:bCs/>
          <w:sz w:val="24"/>
          <w:szCs w:val="24"/>
        </w:rPr>
        <w:t>GMT</w:t>
      </w:r>
      <w:r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+3</w:t>
      </w:r>
      <w:r w:rsidR="003E6AA2" w:rsidRPr="00C369D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tbl>
      <w:tblPr>
        <w:tblW w:w="9141" w:type="dxa"/>
        <w:tblInd w:w="-567" w:type="dxa"/>
        <w:tblLayout w:type="fixed"/>
        <w:tblLook w:val="06A0" w:firstRow="1" w:lastRow="0" w:firstColumn="1" w:lastColumn="0" w:noHBand="1" w:noVBand="1"/>
      </w:tblPr>
      <w:tblGrid>
        <w:gridCol w:w="1452"/>
        <w:gridCol w:w="7689"/>
      </w:tblGrid>
      <w:tr w:rsidR="00467B44" w:rsidRPr="00467B44" w14:paraId="1C411E3F" w14:textId="77777777" w:rsidTr="00F72826">
        <w:trPr>
          <w:trHeight w:val="742"/>
        </w:trPr>
        <w:tc>
          <w:tcPr>
            <w:tcW w:w="1452" w:type="dxa"/>
            <w:shd w:val="clear" w:color="auto" w:fill="auto"/>
          </w:tcPr>
          <w:p w14:paraId="520A5664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C3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0-14:00 GMT+3</w:t>
            </w:r>
          </w:p>
          <w:p w14:paraId="3D420FE8" w14:textId="22989149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shd w:val="clear" w:color="auto" w:fill="auto"/>
          </w:tcPr>
          <w:p w14:paraId="71A10EFF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Пленарная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Вызовы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возможности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зеленого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восстановления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устойчивого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мира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AC93037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Модератор: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Мау Владимир Александрович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ректор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РАНХиГС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7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4B9742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</w:p>
          <w:p w14:paraId="25F67A52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</w:pPr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Паоло </w:t>
            </w: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Магри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ациональный координатор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редседатель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Италия; исполнительный Вице-президент, Итальянский институт международных политических исследований (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ISPI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Италия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BBF703B" w14:textId="77777777" w:rsidR="00467B44" w:rsidRDefault="00467B44" w:rsidP="00216470">
            <w:pPr>
              <w:shd w:val="clear" w:color="auto" w:fill="FFFFFF"/>
              <w:spacing w:after="120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1647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Орешкин Максим Станиславович, </w:t>
            </w:r>
            <w:r w:rsidRPr="002164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помощник Президента Российской Федерации</w:t>
            </w:r>
          </w:p>
          <w:p w14:paraId="7A417C78" w14:textId="77777777" w:rsidR="00467B44" w:rsidRDefault="00467B44" w:rsidP="00467B4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Аннет </w:t>
            </w: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Киобе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остоянного представительства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Международного валютного фонда (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МВФ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71280F6" w14:textId="77777777" w:rsidR="00467B44" w:rsidRDefault="00467B44" w:rsidP="00216470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Джон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Киртон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со-основатель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директор Исследовательской группы «Группы семи», основатель и содиректор Исследовательской группы «Группы двадцати», Школа международных отношений Манка, Университет Торонто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BEA3F39" w14:textId="77777777" w:rsidR="00467B44" w:rsidRPr="007C2A21" w:rsidRDefault="00467B44" w:rsidP="00467B44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Деннис Дж.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ru-RU"/>
              </w:rPr>
              <w:t>Сноуэр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C2A21"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основатель 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 президент, 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Global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Solutions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Initiative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Глобальный экономический симпозиум;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</w:t>
            </w:r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резидент </w:t>
            </w:r>
            <w:proofErr w:type="spellStart"/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Кильского</w:t>
            </w:r>
            <w:proofErr w:type="spellEnd"/>
            <w:r w:rsidRPr="007C2A2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института мировой экономики (2004–2019);</w:t>
            </w:r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старший научный сотрудник, Школа управления им. </w:t>
            </w:r>
            <w:proofErr w:type="spellStart"/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Блаватника</w:t>
            </w:r>
            <w:proofErr w:type="spellEnd"/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, зарубежный научный сотрудник Института </w:t>
            </w:r>
            <w:proofErr w:type="spellStart"/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Брукингса</w:t>
            </w:r>
            <w:proofErr w:type="spellEnd"/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, научный сотрудник Центра исследований экономической политики (Лондон), научный сотрудник Института экономики труда </w:t>
            </w:r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IZA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Бонн), научный сотрудник Центра экономических исследований </w:t>
            </w:r>
            <w:proofErr w:type="spellStart"/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CESifo</w:t>
            </w:r>
            <w:proofErr w:type="spellEnd"/>
            <w:r w:rsidRPr="00A84EE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7C2A2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Мюнхен)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A69146B" w14:textId="74885016" w:rsidR="00467B44" w:rsidRPr="00B17FC7" w:rsidRDefault="00467B44" w:rsidP="003E6AA2">
            <w:pPr>
              <w:tabs>
                <w:tab w:val="left" w:pos="540"/>
              </w:tabs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</w:p>
        </w:tc>
      </w:tr>
      <w:tr w:rsidR="00467B44" w:rsidRPr="000D121E" w14:paraId="7755E982" w14:textId="77777777" w:rsidTr="00F72826">
        <w:tc>
          <w:tcPr>
            <w:tcW w:w="1452" w:type="dxa"/>
            <w:shd w:val="clear" w:color="auto" w:fill="auto"/>
          </w:tcPr>
          <w:p w14:paraId="2C7548CA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14:00-15:00 GMT+3</w:t>
            </w:r>
          </w:p>
          <w:p w14:paraId="61459220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shd w:val="clear" w:color="auto" w:fill="auto"/>
          </w:tcPr>
          <w:p w14:paraId="151BB874" w14:textId="7777777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 1: Проблемы устойчивости международной финансовой системы</w:t>
            </w:r>
          </w:p>
          <w:p w14:paraId="637FF40F" w14:textId="77777777" w:rsidR="00467B44" w:rsidRPr="00C369D5" w:rsidRDefault="00467B44" w:rsidP="00F72826">
            <w:pPr>
              <w:pStyle w:val="xmsonormal"/>
              <w:shd w:val="clear" w:color="auto" w:fill="FFFFFF"/>
              <w:spacing w:before="0" w:beforeAutospacing="0" w:after="120" w:afterAutospacing="0"/>
              <w:jc w:val="both"/>
            </w:pPr>
            <w:r w:rsidRPr="00C369D5">
              <w:rPr>
                <w:b/>
              </w:rPr>
              <w:t>Модератор:</w:t>
            </w:r>
            <w:r w:rsidRPr="00C369D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64FFC">
              <w:rPr>
                <w:rFonts w:eastAsiaTheme="minorHAnsi"/>
                <w:i/>
                <w:lang w:eastAsia="en-US"/>
              </w:rPr>
              <w:t>Паола</w:t>
            </w:r>
            <w:proofErr w:type="spellEnd"/>
            <w:r w:rsidRPr="00564FF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564FFC">
              <w:rPr>
                <w:rFonts w:eastAsiaTheme="minorHAnsi"/>
                <w:i/>
                <w:lang w:eastAsia="en-US"/>
              </w:rPr>
              <w:t>Субакки</w:t>
            </w:r>
            <w:proofErr w:type="spellEnd"/>
            <w:r w:rsidRPr="00C369D5">
              <w:rPr>
                <w:bCs/>
              </w:rPr>
              <w:t xml:space="preserve">, </w:t>
            </w:r>
            <w:r>
              <w:rPr>
                <w:bCs/>
              </w:rPr>
              <w:t>п</w:t>
            </w:r>
            <w:r w:rsidRPr="00C369D5">
              <w:rPr>
                <w:bCs/>
              </w:rPr>
              <w:t xml:space="preserve">рофессор, </w:t>
            </w:r>
            <w:r>
              <w:rPr>
                <w:bCs/>
              </w:rPr>
              <w:t>п</w:t>
            </w:r>
            <w:r w:rsidRPr="00C369D5">
              <w:rPr>
                <w:bCs/>
              </w:rPr>
              <w:t>редседатель Консультативного Совета, Институт глобальной политики, Лондонский университет Королевы Марии</w:t>
            </w:r>
            <w:r>
              <w:rPr>
                <w:bCs/>
              </w:rPr>
              <w:t>.</w:t>
            </w:r>
          </w:p>
          <w:p w14:paraId="3EC2CCF3" w14:textId="77777777" w:rsidR="00467B44" w:rsidRPr="00B17FC7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 w:rsidRPr="00B17F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523D5686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Гельсомина</w:t>
            </w:r>
            <w:proofErr w:type="spellEnd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Виглиотти</w:t>
            </w:r>
            <w:proofErr w:type="spellEnd"/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енеральный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директор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международным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финансовым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отношениям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Казначейство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Италии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1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9C88EF5" w14:textId="77777777" w:rsidR="000D121E" w:rsidRPr="0067484D" w:rsidRDefault="000D121E" w:rsidP="000D121E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</w:pPr>
            <w:r w:rsidRPr="000D121E">
              <w:rPr>
                <w:rFonts w:ascii="Times New Roman" w:hAnsi="Times New Roman" w:cs="Times New Roman"/>
                <w:bCs/>
                <w:i/>
                <w:iCs/>
                <w:color w:val="201F1E"/>
                <w:sz w:val="24"/>
                <w:szCs w:val="24"/>
                <w:shd w:val="clear" w:color="auto" w:fill="FFFFFF"/>
                <w:lang w:val="ru-RU"/>
              </w:rPr>
              <w:t>Сергей Сторчак</w:t>
            </w:r>
            <w:r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  <w:t>, старший банкир, ВЭБ РФ, заместитель министра финансов Российской Федерации (2005-2020)</w:t>
            </w:r>
          </w:p>
          <w:p w14:paraId="162D4120" w14:textId="77777777" w:rsidR="00467B44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Хайхун</w:t>
            </w:r>
            <w:proofErr w:type="spellEnd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Гао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 директор, Центр исследований международных финансов, Институт мировой экономики и политики Китайской академии социальных наук, сопредседатель Рабочей группы по международным финансам «Экспертной двадцатки» (Т20)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128386C" w14:textId="7A5EEA38" w:rsidR="00467B44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535C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Чатиб</w:t>
            </w:r>
            <w:proofErr w:type="spellEnd"/>
            <w:r w:rsidRPr="00B535C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Мухаммад </w:t>
            </w:r>
            <w:proofErr w:type="spellStart"/>
            <w:r w:rsidRPr="00B535C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Басри</w:t>
            </w:r>
            <w:proofErr w:type="spellEnd"/>
            <w:r w:rsidRPr="00B535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 профессор Факультета экономики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B535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Университет Индонезии; бывший министр финансов Индонезии (2013-2014);</w:t>
            </w:r>
            <w:r w:rsidRPr="00B535CB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 Председатель </w:t>
            </w:r>
            <w:r w:rsidRPr="00B535CB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B53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5C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B53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5CB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B53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B535CB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 сопредседатель «Экспертной двадцатки» по вопросам международных финансов</w:t>
            </w:r>
            <w:r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87029F6" w14:textId="7777777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</w:p>
          <w:p w14:paraId="48797A4E" w14:textId="2A763D55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7B44" w:rsidRPr="00C369D5" w14:paraId="1A76D99D" w14:textId="77777777" w:rsidTr="00F72826">
        <w:tc>
          <w:tcPr>
            <w:tcW w:w="1452" w:type="dxa"/>
            <w:shd w:val="clear" w:color="auto" w:fill="auto"/>
          </w:tcPr>
          <w:p w14:paraId="3F5445BF" w14:textId="520684C1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</w:rPr>
              <w:t>15.00-15.30 GMT+3</w:t>
            </w:r>
          </w:p>
        </w:tc>
        <w:tc>
          <w:tcPr>
            <w:tcW w:w="7689" w:type="dxa"/>
            <w:shd w:val="clear" w:color="auto" w:fill="auto"/>
          </w:tcPr>
          <w:p w14:paraId="10474D8D" w14:textId="5F1FB76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7B44" w:rsidRPr="0067484D" w14:paraId="2621E857" w14:textId="77777777" w:rsidTr="00F72826">
        <w:tc>
          <w:tcPr>
            <w:tcW w:w="1452" w:type="dxa"/>
            <w:shd w:val="clear" w:color="auto" w:fill="auto"/>
          </w:tcPr>
          <w:p w14:paraId="4DB8A12B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</w:rPr>
              <w:t>15.30-16.30 GMT+3</w:t>
            </w:r>
          </w:p>
          <w:p w14:paraId="5C872923" w14:textId="5ECBDBB5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shd w:val="clear" w:color="auto" w:fill="auto"/>
          </w:tcPr>
          <w:p w14:paraId="442FB05B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 2: Приоритеты сотрудничества для сохранения климата и реализации Целей устойчивого развития</w:t>
            </w:r>
          </w:p>
          <w:p w14:paraId="42A8FD53" w14:textId="77777777" w:rsidR="00555D06" w:rsidRPr="00C369D5" w:rsidRDefault="00467B44" w:rsidP="00555D0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Модератор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55D06"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Ларионова Марина Владимировна</w:t>
            </w:r>
            <w:r w:rsidR="00555D06"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директор Центра исследований международных институтов (ЦИМИ), Российская академия народного хозяйства и государственной службы при Президенте РФ (РАНХиГС)</w:t>
            </w:r>
            <w:r w:rsidR="00555D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004EBD2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</w:p>
          <w:p w14:paraId="07D7C31D" w14:textId="77777777" w:rsidR="00467B44" w:rsidRPr="00FA33E0" w:rsidRDefault="00467B44" w:rsidP="00F72826">
            <w:pPr>
              <w:pStyle w:val="3"/>
              <w:shd w:val="clear" w:color="auto" w:fill="FFFFFF"/>
              <w:spacing w:before="0" w:after="12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lang w:eastAsia="en-US"/>
              </w:rPr>
            </w:pPr>
            <w:r w:rsidRPr="00FA33E0">
              <w:rPr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hd w:val="clear" w:color="auto" w:fill="FFFFFF"/>
              </w:rPr>
              <w:t xml:space="preserve">Дэвид </w:t>
            </w:r>
            <w:proofErr w:type="spellStart"/>
            <w:r w:rsidRPr="00FA33E0">
              <w:rPr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hd w:val="clear" w:color="auto" w:fill="FFFFFF"/>
              </w:rPr>
              <w:t>Найт</w:t>
            </w:r>
            <w:proofErr w:type="spellEnd"/>
            <w:r w:rsidRPr="00FA33E0">
              <w:rPr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, главный экономист Всемирного банка в Российской Федерации.</w:t>
            </w:r>
            <w:r w:rsidRPr="00FA33E0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lang w:eastAsia="en-US"/>
              </w:rPr>
              <w:t xml:space="preserve"> </w:t>
            </w:r>
          </w:p>
          <w:p w14:paraId="7B64F1B2" w14:textId="77777777" w:rsidR="00467B44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Камилла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Бауш</w:t>
            </w:r>
            <w:proofErr w:type="spellEnd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аучный и исполнительный директор, Институт экологии</w:t>
            </w:r>
            <w:r w:rsidRPr="00CF7D2B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;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со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Целевой группы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«Экспертной двадцатки» </w:t>
            </w:r>
            <w:r w:rsidRPr="00C369D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по климатическим изменениям, устойчивой энергетике и экологии</w:t>
            </w:r>
            <w:r w:rsidRPr="00CF7D2B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; представитель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Ecornet</w:t>
            </w:r>
            <w:proofErr w:type="spellEnd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Ecological</w:t>
            </w:r>
            <w:r w:rsidRPr="00CF7D2B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Research</w:t>
            </w:r>
            <w:r w:rsidRPr="00CF7D2B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Network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CF7D2B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соредактор журнала </w:t>
            </w:r>
            <w:proofErr w:type="spellStart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Carbon</w:t>
            </w:r>
            <w:proofErr w:type="spellEnd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&amp; </w:t>
            </w:r>
            <w:proofErr w:type="spellStart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Climate</w:t>
            </w:r>
            <w:proofErr w:type="spellEnd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Law</w:t>
            </w:r>
            <w:proofErr w:type="spellEnd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Review</w:t>
            </w:r>
            <w:proofErr w:type="spellEnd"/>
            <w:r w:rsidRPr="001D0A8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 (CCLR)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A992269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Макаров Игорь Алексеевич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руководитель, доцент департамента мировой экономики, заведующий сектором международно-экономических исследований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комплексных европейских и международных исследований, заведующий научно-учебной лаборатории экономики изменения климата, академический руководитель образовательной программы Мировая экономика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Факультет мировой экономики и мировой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НИУ ВШЭ.</w:t>
            </w:r>
          </w:p>
          <w:p w14:paraId="0FCA13F4" w14:textId="528D7DBC" w:rsidR="00467B44" w:rsidRDefault="00467B44" w:rsidP="00216470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75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Элла </w:t>
            </w:r>
            <w:proofErr w:type="spellStart"/>
            <w:r w:rsidRPr="005275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Кокотсис</w:t>
            </w:r>
            <w:proofErr w:type="spellEnd"/>
            <w:r w:rsidRPr="00527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по исследованиям уровня исполнения, Исследовательские группы «Группы семи» и «Группы двадцати», </w:t>
            </w:r>
            <w:r w:rsidRPr="005275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Школа международных отношений Манка, Университет Торонто.</w:t>
            </w:r>
            <w:r w:rsidRPr="005275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1A5156F9" w14:textId="77777777" w:rsidR="009F53CF" w:rsidRDefault="009F53CF" w:rsidP="009F53CF">
            <w:pPr>
              <w:pStyle w:val="1"/>
              <w:shd w:val="clear" w:color="auto" w:fill="FFFFFF"/>
              <w:spacing w:before="0" w:after="120"/>
              <w:jc w:val="both"/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</w:pPr>
            <w:r w:rsidRPr="00C369D5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en-US"/>
              </w:rPr>
              <w:t>Гаврилов Всеволод Валерианович</w:t>
            </w:r>
            <w:r w:rsidRPr="00C369D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д</w:t>
            </w:r>
            <w:r w:rsidRPr="00C369D5"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 xml:space="preserve">иректор по управлению проектами в области энергосбережения и природопользования ПАО «Сбербанк России», </w:t>
            </w:r>
            <w:r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п</w:t>
            </w:r>
            <w:r w:rsidRPr="00C369D5"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редседатель Совета директоров ООО «</w:t>
            </w:r>
            <w:proofErr w:type="spellStart"/>
            <w:r w:rsidRPr="00C369D5"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Сберэнергодевелопмент</w:t>
            </w:r>
            <w:proofErr w:type="spellEnd"/>
            <w:r w:rsidRPr="00C369D5"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» (СЭД)</w:t>
            </w:r>
            <w:r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14:paraId="0E999141" w14:textId="3D11469F" w:rsidR="00467B44" w:rsidRPr="002108D1" w:rsidRDefault="00467B44" w:rsidP="002108D1">
            <w:pPr>
              <w:rPr>
                <w:lang w:val="ru-RU" w:eastAsia="ru-RU"/>
              </w:rPr>
            </w:pPr>
            <w:r w:rsidRPr="000C20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0C20AA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рыгина Ирина </w:t>
            </w:r>
            <w:proofErr w:type="spellStart"/>
            <w:r w:rsidRPr="000C20AA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  <w:lang w:val="ru-RU"/>
              </w:rPr>
              <w:t>Зотовна</w:t>
            </w:r>
            <w:proofErr w:type="spellEnd"/>
            <w:r w:rsidRPr="000C20A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, Директор по научной работе Национального комитета по исследованию </w:t>
            </w:r>
            <w:r w:rsidRPr="009F53C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ru-RU"/>
              </w:rPr>
              <w:t>БРИКС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ru-RU"/>
              </w:rPr>
              <w:t>, Заведующая кафедрой «Экономика и банковский бизнес», МГИМО Университет.</w:t>
            </w:r>
          </w:p>
          <w:p w14:paraId="34662CDA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</w:p>
          <w:p w14:paraId="4ED3708D" w14:textId="77777777" w:rsidR="00467B44" w:rsidRPr="009C7FEA" w:rsidRDefault="00467B44" w:rsidP="00F7282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41FA08" w14:textId="2091A465" w:rsidR="00467B44" w:rsidRPr="009F53CF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 октября (13.00-17.00 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</w:rPr>
              <w:t>GMT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+3)</w:t>
            </w:r>
          </w:p>
        </w:tc>
      </w:tr>
      <w:tr w:rsidR="00467B44" w:rsidRPr="009C7FEA" w14:paraId="598E56ED" w14:textId="77777777" w:rsidTr="00F72826">
        <w:tc>
          <w:tcPr>
            <w:tcW w:w="1452" w:type="dxa"/>
            <w:shd w:val="clear" w:color="auto" w:fill="auto"/>
          </w:tcPr>
          <w:p w14:paraId="0E5C81FF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13:00-14:00 GMT+3</w:t>
            </w:r>
          </w:p>
          <w:p w14:paraId="569565D8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shd w:val="clear" w:color="auto" w:fill="auto"/>
          </w:tcPr>
          <w:p w14:paraId="5F5230DD" w14:textId="7777777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 3: Монетарная политика, т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орговля и инвестиции. Требуется перезагрузка для устойчивого роста</w:t>
            </w:r>
          </w:p>
          <w:p w14:paraId="6F2986EB" w14:textId="7777777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Волчкова Наталья Александровна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роректор по научной работе, Всероссийская академия внешней торговли (ВАВТ) Министерства экономического развития Российской Федерации, профессор экономики, Российская экономическая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14:paraId="2729D025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A22EF24" w14:textId="44F49801" w:rsidR="00467B44" w:rsidRPr="00C369D5" w:rsidRDefault="00467B44" w:rsidP="00F72826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Биричевский</w:t>
            </w:r>
            <w:proofErr w:type="spellEnd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Дмитрий Анатольевич</w:t>
            </w:r>
            <w:r w:rsidRPr="00C369D5">
              <w:rPr>
                <w:rFonts w:ascii="Times New Roman" w:hAnsi="Times New Roman" w:cs="Times New Roman"/>
                <w:bCs/>
                <w:color w:val="323A44"/>
                <w:sz w:val="24"/>
                <w:szCs w:val="24"/>
                <w:lang w:val="ru-RU"/>
              </w:rPr>
              <w:t>,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иректор </w:t>
            </w:r>
            <w:r w:rsidRPr="00C369D5">
              <w:rPr>
                <w:rFonts w:ascii="Times New Roman" w:hAnsi="Times New Roman" w:cs="Times New Roman"/>
                <w:bCs/>
                <w:color w:val="323A44"/>
                <w:sz w:val="24"/>
                <w:szCs w:val="24"/>
                <w:shd w:val="clear" w:color="auto" w:fill="FFFFFF"/>
                <w:lang w:val="ru-RU"/>
              </w:rPr>
              <w:t>департамента экономического сотрудничества (ДЭС) МИД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93CE76E" w14:textId="77777777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Николас Пино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шерпа ОЭСР в «Группе двадцати» и «Группе семи»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0875F5F" w14:textId="77777777" w:rsidR="00467B44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Франко Бруни</w:t>
            </w:r>
            <w:r w:rsidRPr="002108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,</w:t>
            </w:r>
            <w:r w:rsidRPr="00210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вице-президент и соруководитель Итальянского института международных политических исследований, Центр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Европе и глобальному управлению;</w:t>
            </w:r>
            <w:r w:rsidRPr="002108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108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едущий сопредседатель Целевой </w:t>
            </w:r>
            <w:r w:rsidRPr="00CF7D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группы по международным финансам «Экспертной двадцатки», почетный профессор, факультет экономики Университета </w:t>
            </w:r>
            <w:proofErr w:type="spellStart"/>
            <w:r w:rsidRPr="00CF7D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Боккони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4629574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Цзецзинь</w:t>
            </w:r>
            <w:proofErr w:type="spellEnd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Чжу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профессор, Школа международных отношений и связей с общественностью, </w:t>
            </w:r>
            <w:proofErr w:type="spellStart"/>
            <w:r w:rsidRPr="00C369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Фуданьский</w:t>
            </w:r>
            <w:proofErr w:type="spellEnd"/>
            <w:r w:rsidRPr="00C369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университет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50C6A17" w14:textId="412ED3EA" w:rsidR="00467B44" w:rsidRPr="00C369D5" w:rsidRDefault="00467B44" w:rsidP="00C7780F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bookmarkStart w:id="1" w:name="_Hlk72597971"/>
            <w:proofErr w:type="spellStart"/>
            <w:r w:rsidRPr="00351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Лисоволик</w:t>
            </w:r>
            <w:proofErr w:type="spellEnd"/>
            <w:r w:rsidRPr="00351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Ярослав Дмитриевич</w:t>
            </w:r>
            <w:r w:rsidRPr="00351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1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программный директор Международного дискуссионного клуба «Валдай», член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Российского совета по международным делам (</w:t>
            </w:r>
            <w:r w:rsidRPr="00351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РСМД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  <w:bookmarkEnd w:id="1"/>
          <w:p w14:paraId="35A6C2DD" w14:textId="284EE43A" w:rsidR="00467B44" w:rsidRPr="009C7FEA" w:rsidRDefault="00467B44" w:rsidP="00F7282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</w:p>
        </w:tc>
      </w:tr>
      <w:tr w:rsidR="00467B44" w:rsidRPr="00C369D5" w14:paraId="2E06E35B" w14:textId="77777777" w:rsidTr="00F72826">
        <w:tc>
          <w:tcPr>
            <w:tcW w:w="1452" w:type="dxa"/>
            <w:shd w:val="clear" w:color="auto" w:fill="auto"/>
          </w:tcPr>
          <w:p w14:paraId="75963FD0" w14:textId="77777777" w:rsidR="00467B44" w:rsidRPr="00C369D5" w:rsidRDefault="00467B44" w:rsidP="00F7282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14:00-15:00 GMT+3</w:t>
            </w:r>
          </w:p>
          <w:p w14:paraId="38F5A1B0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shd w:val="clear" w:color="auto" w:fill="auto"/>
          </w:tcPr>
          <w:p w14:paraId="45A86E44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 4: Использование потенциала данных и цифровых технологий для инклюзивного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устойчивого</w:t>
            </w: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роста</w:t>
            </w:r>
          </w:p>
          <w:p w14:paraId="699AF9DF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Зуев Владимир Николаевич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профессор Факультета мировой экономики и мировой политики, Национальный исследовательский университет «Высшая школа экономики»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970D1AD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828C8BD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Рохинтон</w:t>
            </w:r>
            <w:proofErr w:type="spellEnd"/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П. </w:t>
            </w:r>
            <w:proofErr w:type="spellStart"/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Медора</w:t>
            </w:r>
            <w:proofErr w:type="spellEnd"/>
            <w:r w:rsidRPr="002108D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>п</w:t>
            </w:r>
            <w:r w:rsidRPr="002108D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резидент Центра инноваций в международном управлении,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>ч</w:t>
            </w:r>
            <w:r w:rsidRPr="002108D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лен Комиссии по глобальной </w:t>
            </w:r>
            <w:r w:rsidRPr="00B535C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>экономической трансформации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>.</w:t>
            </w:r>
          </w:p>
          <w:p w14:paraId="4FA9F445" w14:textId="77777777" w:rsidR="00467B44" w:rsidRPr="00D8116F" w:rsidRDefault="00467B44" w:rsidP="00D81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Хосе </w:t>
            </w:r>
            <w:proofErr w:type="spellStart"/>
            <w:r w:rsidRPr="00D81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Сиаба</w:t>
            </w:r>
            <w:proofErr w:type="spellEnd"/>
            <w:r w:rsidRPr="00D81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Серрате</w:t>
            </w:r>
            <w:proofErr w:type="spellEnd"/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 Аргентинского совета по международным отношениям, эксперт Аргентинского Института рынков капитала, лектор в университетах Буэнос-Айреса и Университета </w:t>
            </w:r>
            <w:r w:rsidRPr="00D8116F">
              <w:rPr>
                <w:rFonts w:ascii="Times New Roman" w:hAnsi="Times New Roman" w:cs="Times New Roman"/>
                <w:sz w:val="24"/>
                <w:szCs w:val="24"/>
              </w:rPr>
              <w:t>CEMA</w:t>
            </w:r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(Центра макроэкономических исследований), основатель и генеральный директор компании </w:t>
            </w:r>
            <w:proofErr w:type="spellStart"/>
            <w:r w:rsidRPr="00D8116F">
              <w:rPr>
                <w:rFonts w:ascii="Times New Roman" w:hAnsi="Times New Roman" w:cs="Times New Roman"/>
                <w:sz w:val="24"/>
                <w:szCs w:val="24"/>
              </w:rPr>
              <w:t>Estudio</w:t>
            </w:r>
            <w:proofErr w:type="spellEnd"/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16F">
              <w:rPr>
                <w:rFonts w:ascii="Times New Roman" w:hAnsi="Times New Roman" w:cs="Times New Roman"/>
                <w:sz w:val="24"/>
                <w:szCs w:val="24"/>
              </w:rPr>
              <w:t>Siaba</w:t>
            </w:r>
            <w:proofErr w:type="spellEnd"/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16F">
              <w:rPr>
                <w:rFonts w:ascii="Times New Roman" w:hAnsi="Times New Roman" w:cs="Times New Roman"/>
                <w:sz w:val="24"/>
                <w:szCs w:val="24"/>
              </w:rPr>
              <w:t>Serrate</w:t>
            </w:r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(экономический консалтинг)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1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8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сопредседатель Целевой </w:t>
            </w:r>
            <w:r w:rsidRPr="00CF7D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группы по международным финансам «Экспертной двадцатки»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43126E2" w14:textId="77777777" w:rsidR="00467B44" w:rsidRPr="00C369D5" w:rsidRDefault="00467B44" w:rsidP="00A578CD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Санг-Чул</w:t>
            </w:r>
            <w:proofErr w:type="spellEnd"/>
            <w:r w:rsidRPr="002108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Пак</w:t>
            </w:r>
            <w:r w:rsidRPr="00210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профессор Высшей школы </w:t>
            </w:r>
            <w:r w:rsidRPr="007C2A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наукоемких технологий и энергетики, Политехнический университет Республики Корея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CADA1F7" w14:textId="648C500A" w:rsidR="00467B44" w:rsidRDefault="00467B44" w:rsidP="0066653A">
            <w:pPr>
              <w:shd w:val="clear" w:color="auto" w:fill="FFFFFF"/>
              <w:textAlignment w:val="baseline"/>
              <w:rPr>
                <w:rFonts w:ascii="Segoe UI" w:hAnsi="Segoe UI" w:cs="Segoe UI"/>
                <w:i/>
                <w:iCs/>
                <w:color w:val="201F1E"/>
                <w:sz w:val="23"/>
                <w:szCs w:val="23"/>
                <w:bdr w:val="none" w:sz="0" w:space="0" w:color="auto" w:frame="1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Марек</w:t>
            </w:r>
            <w:r w:rsidRPr="003F11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Ревизорски</w:t>
            </w:r>
            <w:proofErr w:type="spellEnd"/>
            <w:r w:rsidRPr="003F11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профессор</w:t>
            </w:r>
            <w:r w:rsidRPr="003F11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Институт политических наук,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Университет</w:t>
            </w:r>
            <w:r w:rsidRPr="003F11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Гданьска</w:t>
            </w:r>
            <w:r w:rsidRPr="003F11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3F117F">
              <w:rPr>
                <w:rFonts w:ascii="Segoe UI" w:hAnsi="Segoe UI" w:cs="Segoe UI"/>
                <w:i/>
                <w:iCs/>
                <w:color w:val="201F1E"/>
                <w:sz w:val="23"/>
                <w:szCs w:val="23"/>
                <w:bdr w:val="none" w:sz="0" w:space="0" w:color="auto" w:frame="1"/>
                <w:lang w:val="ru-RU"/>
              </w:rPr>
              <w:t xml:space="preserve"> </w:t>
            </w:r>
          </w:p>
          <w:p w14:paraId="4A55D22A" w14:textId="77777777" w:rsidR="0067484D" w:rsidRPr="00BB0891" w:rsidRDefault="0067484D" w:rsidP="0067484D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Ян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Ваутерс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профессор, директор Центра исследований глобального управления, директор Института международного права, профессор международного права и права международных организаций, </w:t>
            </w:r>
            <w:proofErr w:type="spellStart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Лёвенский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католический университет</w:t>
            </w:r>
            <w:r w:rsidRPr="00C369D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4C2B4FEE" w14:textId="77777777" w:rsidR="00467B44" w:rsidRPr="00C369D5" w:rsidRDefault="00467B44" w:rsidP="0099726A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</w:p>
          <w:p w14:paraId="5ACE0E49" w14:textId="201AF7FD" w:rsidR="00467B44" w:rsidRPr="00C369D5" w:rsidRDefault="00467B44" w:rsidP="00F7282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7B44" w:rsidRPr="00C369D5" w14:paraId="53C01929" w14:textId="77777777" w:rsidTr="00F72826">
        <w:tc>
          <w:tcPr>
            <w:tcW w:w="1452" w:type="dxa"/>
            <w:shd w:val="clear" w:color="auto" w:fill="auto"/>
          </w:tcPr>
          <w:p w14:paraId="78832CBB" w14:textId="34A63714" w:rsidR="00467B44" w:rsidRPr="00C369D5" w:rsidRDefault="00467B44" w:rsidP="00F7282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15.00-15.30</w:t>
            </w:r>
            <w:r w:rsidRPr="00C3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9" w:type="dxa"/>
            <w:shd w:val="clear" w:color="auto" w:fill="auto"/>
          </w:tcPr>
          <w:p w14:paraId="65B10956" w14:textId="679BB708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Перерыв</w:t>
            </w:r>
          </w:p>
        </w:tc>
      </w:tr>
      <w:tr w:rsidR="00467B44" w:rsidRPr="00C369D5" w14:paraId="25AD2C77" w14:textId="77777777" w:rsidTr="00F72826">
        <w:tc>
          <w:tcPr>
            <w:tcW w:w="1452" w:type="dxa"/>
            <w:shd w:val="clear" w:color="auto" w:fill="auto"/>
          </w:tcPr>
          <w:p w14:paraId="0B920979" w14:textId="5F32877F" w:rsidR="00467B44" w:rsidRPr="00C369D5" w:rsidRDefault="00467B44" w:rsidP="00F7282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15.30-16.30</w:t>
            </w:r>
            <w:r w:rsidRPr="00C3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GMT+3</w:t>
            </w:r>
          </w:p>
        </w:tc>
        <w:tc>
          <w:tcPr>
            <w:tcW w:w="7689" w:type="dxa"/>
            <w:shd w:val="clear" w:color="auto" w:fill="auto"/>
          </w:tcPr>
          <w:p w14:paraId="75FCEA91" w14:textId="77777777" w:rsidR="00467B44" w:rsidRPr="00C369D5" w:rsidRDefault="00467B44" w:rsidP="00F72826">
            <w:pPr>
              <w:pStyle w:val="xmsonormal"/>
              <w:shd w:val="clear" w:color="auto" w:fill="FFFFFF"/>
              <w:spacing w:before="0" w:beforeAutospacing="0" w:after="120" w:afterAutospacing="0"/>
              <w:jc w:val="both"/>
              <w:rPr>
                <w:b/>
                <w:bCs/>
              </w:rPr>
            </w:pPr>
            <w:r w:rsidRPr="00C369D5">
              <w:rPr>
                <w:b/>
              </w:rPr>
              <w:t>Сессия 5 (мозговой штурм): Восстановление доверия и многосторонности для глобального общественного блага. Как сделать вклад экспертного сообщества более эффективным?</w:t>
            </w:r>
          </w:p>
          <w:p w14:paraId="02BFBE4E" w14:textId="77777777" w:rsidR="00467B44" w:rsidRPr="00C369D5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Модератор</w:t>
            </w:r>
            <w:r w:rsidRPr="00C3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Панова Виктория Владимировна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проректор по международным отношениям, Дальневосточный федеральный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0F4731B" w14:textId="77777777" w:rsidR="00467B44" w:rsidRPr="009A6A34" w:rsidRDefault="00467B44" w:rsidP="00F72826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 w:rsidRPr="009A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CF09234" w14:textId="77777777" w:rsidR="00467B44" w:rsidRPr="004F506D" w:rsidRDefault="00467B44" w:rsidP="00D37751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A6A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Ян </w:t>
            </w:r>
            <w:proofErr w:type="spellStart"/>
            <w:r w:rsidRPr="009A6A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Аарт</w:t>
            </w:r>
            <w:proofErr w:type="spellEnd"/>
            <w:r w:rsidRPr="009A6A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A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Шольте</w:t>
            </w:r>
            <w:proofErr w:type="spellEnd"/>
            <w:r w:rsidRPr="009A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руководитель программы «Глобальные трансформации и проблемы управления» (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Global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Transformations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Governance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Challenges</w:t>
            </w:r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) Лейденского университета, Нидерланды; профессор Школы глобальных исследований, </w:t>
            </w:r>
            <w:proofErr w:type="spellStart"/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Гётеборгский</w:t>
            </w:r>
            <w:proofErr w:type="spellEnd"/>
            <w:r w:rsidRPr="009A6A3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университет, Швеция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  <w:p w14:paraId="042592A3" w14:textId="77777777" w:rsidR="00467B44" w:rsidRPr="00C369D5" w:rsidRDefault="00467B44" w:rsidP="00A578CD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Джонатан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Лакхёрст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профессор международных отношений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Университет Сока, Токио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C36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30771E1B" w14:textId="77777777" w:rsidR="00467B44" w:rsidRPr="00C369D5" w:rsidRDefault="00467B44" w:rsidP="00216470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Ларионова Марина Владимировна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директор Центра исследований международных институтов (ЦИМИ), Российская академия народного хозяйства и государственной службы при Президенте РФ (РАНХиГС)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4CAAFB3" w14:textId="77777777" w:rsidR="00467B44" w:rsidRDefault="00467B44" w:rsidP="000C20A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Дэниел</w:t>
            </w:r>
            <w:proofErr w:type="spellEnd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9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Брэдлоу</w:t>
            </w:r>
            <w:proofErr w:type="spellEnd"/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профессор в сфере международного законодательства в области развития и экономических отношений в Африке, Центр по правам человека, Юридический факультет, Университет Претории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C3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14:paraId="7C8216AF" w14:textId="6FD6B005" w:rsidR="00467B44" w:rsidRPr="00C369D5" w:rsidRDefault="00467B44" w:rsidP="005439AD">
            <w:pPr>
              <w:tabs>
                <w:tab w:val="left" w:pos="540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C20AA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  <w:lang w:val="ru-RU"/>
              </w:rPr>
              <w:t>Толорая</w:t>
            </w:r>
            <w:proofErr w:type="spellEnd"/>
            <w:r w:rsidRPr="000C20AA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 Георгий Давидович</w:t>
            </w:r>
            <w:r w:rsidRPr="000C20A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ru-RU"/>
              </w:rPr>
              <w:t xml:space="preserve">, Заместитель Председателя Правления Национального комитета по исследованию </w:t>
            </w:r>
            <w:r w:rsidRPr="00467B44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ru-RU"/>
              </w:rPr>
              <w:t>БРИКС</w:t>
            </w:r>
          </w:p>
        </w:tc>
      </w:tr>
      <w:tr w:rsidR="00467B44" w:rsidRPr="0067484D" w14:paraId="7D783622" w14:textId="77777777" w:rsidTr="00F72826">
        <w:tc>
          <w:tcPr>
            <w:tcW w:w="1452" w:type="dxa"/>
            <w:shd w:val="clear" w:color="auto" w:fill="auto"/>
          </w:tcPr>
          <w:p w14:paraId="7F8F927D" w14:textId="33A9B6FE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89" w:type="dxa"/>
            <w:shd w:val="clear" w:color="auto" w:fill="auto"/>
          </w:tcPr>
          <w:p w14:paraId="313A8E96" w14:textId="77777777" w:rsidR="00467B44" w:rsidRPr="005E3109" w:rsidRDefault="00467B44" w:rsidP="00C7780F">
            <w:pPr>
              <w:pStyle w:val="xmsonormal"/>
              <w:shd w:val="clear" w:color="auto" w:fill="FFFFFF"/>
              <w:spacing w:before="0" w:beforeAutospacing="0" w:after="12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C369D5">
              <w:rPr>
                <w:rFonts w:eastAsiaTheme="minorHAnsi"/>
                <w:i/>
                <w:lang w:eastAsia="en-US"/>
              </w:rPr>
              <w:t>Джонатан Фрид</w:t>
            </w:r>
            <w:r w:rsidRPr="00C369D5">
              <w:rPr>
                <w:b/>
                <w:shd w:val="clear" w:color="auto" w:fill="FFFFFF"/>
              </w:rPr>
              <w:t>,</w:t>
            </w:r>
            <w:r w:rsidRPr="00C369D5">
              <w:rPr>
                <w:bCs/>
                <w:shd w:val="clear" w:color="auto" w:fill="FFFFFF"/>
              </w:rPr>
              <w:t xml:space="preserve"> </w:t>
            </w:r>
            <w:r w:rsidRPr="005E3109">
              <w:rPr>
                <w:rFonts w:eastAsiaTheme="minorHAnsi"/>
                <w:iCs/>
                <w:lang w:eastAsia="en-US"/>
              </w:rPr>
              <w:t xml:space="preserve">представитель </w:t>
            </w:r>
            <w:r>
              <w:rPr>
                <w:rFonts w:eastAsiaTheme="minorHAnsi"/>
                <w:iCs/>
                <w:lang w:eastAsia="en-US"/>
              </w:rPr>
              <w:t>п</w:t>
            </w:r>
            <w:r w:rsidRPr="005E3109">
              <w:rPr>
                <w:rFonts w:eastAsiaTheme="minorHAnsi"/>
                <w:iCs/>
                <w:lang w:eastAsia="en-US"/>
              </w:rPr>
              <w:t xml:space="preserve">ремьер-министра Канады в «Группе двадцати» и координатор международных экономических отношений (2017-2020 гг.); старший зарубежный партнёр Центра стратегических и международных исследований (экономические исследования).  </w:t>
            </w:r>
          </w:p>
          <w:p w14:paraId="52220074" w14:textId="10DE0A37" w:rsidR="00467B44" w:rsidRPr="000C20AA" w:rsidRDefault="00467B44" w:rsidP="000C20A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</w:tr>
      <w:tr w:rsidR="00467B44" w:rsidRPr="0067484D" w14:paraId="6B030FAF" w14:textId="77777777" w:rsidTr="00F72826">
        <w:tc>
          <w:tcPr>
            <w:tcW w:w="1452" w:type="dxa"/>
            <w:shd w:val="clear" w:color="auto" w:fill="auto"/>
          </w:tcPr>
          <w:p w14:paraId="07C1A7F2" w14:textId="77777777" w:rsidR="00467B44" w:rsidRPr="00C369D5" w:rsidRDefault="00467B44" w:rsidP="00F72826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7689" w:type="dxa"/>
            <w:shd w:val="clear" w:color="auto" w:fill="auto"/>
          </w:tcPr>
          <w:p w14:paraId="2B54B07A" w14:textId="45E222D7" w:rsidR="00467B44" w:rsidRPr="00D8116F" w:rsidRDefault="00467B44" w:rsidP="00A578CD">
            <w:pPr>
              <w:pStyle w:val="xmsonormal"/>
              <w:shd w:val="clear" w:color="auto" w:fill="FFFFFF"/>
              <w:spacing w:before="0" w:beforeAutospacing="0" w:after="120" w:afterAutospacing="0"/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200F4D80" w14:textId="77777777" w:rsidR="006B4448" w:rsidRPr="00D8116F" w:rsidRDefault="006B4448" w:rsidP="00CA61B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6B4448" w:rsidRPr="00D8116F" w:rsidSect="003E2398">
      <w:pgSz w:w="12240" w:h="15840"/>
      <w:pgMar w:top="709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F2F32"/>
    <w:multiLevelType w:val="multilevel"/>
    <w:tmpl w:val="81C8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22F1C"/>
    <w:multiLevelType w:val="multilevel"/>
    <w:tmpl w:val="E14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12211"/>
    <w:multiLevelType w:val="hybridMultilevel"/>
    <w:tmpl w:val="C328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D9"/>
    <w:rsid w:val="000457D6"/>
    <w:rsid w:val="000628FA"/>
    <w:rsid w:val="00065672"/>
    <w:rsid w:val="000671C1"/>
    <w:rsid w:val="0007323B"/>
    <w:rsid w:val="000A4DD5"/>
    <w:rsid w:val="000C20AA"/>
    <w:rsid w:val="000D121E"/>
    <w:rsid w:val="000F176A"/>
    <w:rsid w:val="000F7F2F"/>
    <w:rsid w:val="00101EBC"/>
    <w:rsid w:val="00120F7C"/>
    <w:rsid w:val="0013024D"/>
    <w:rsid w:val="001538E3"/>
    <w:rsid w:val="00163F49"/>
    <w:rsid w:val="0017150A"/>
    <w:rsid w:val="001B2F0A"/>
    <w:rsid w:val="001C21C4"/>
    <w:rsid w:val="001C5860"/>
    <w:rsid w:val="001D0A89"/>
    <w:rsid w:val="001D16FA"/>
    <w:rsid w:val="001E6304"/>
    <w:rsid w:val="001F50F1"/>
    <w:rsid w:val="002056FE"/>
    <w:rsid w:val="002108D1"/>
    <w:rsid w:val="00214E4B"/>
    <w:rsid w:val="00214EE6"/>
    <w:rsid w:val="00216470"/>
    <w:rsid w:val="002213A5"/>
    <w:rsid w:val="00224565"/>
    <w:rsid w:val="0022585F"/>
    <w:rsid w:val="0025426A"/>
    <w:rsid w:val="00275A41"/>
    <w:rsid w:val="002768F1"/>
    <w:rsid w:val="00294E7B"/>
    <w:rsid w:val="002A0C94"/>
    <w:rsid w:val="002A13F3"/>
    <w:rsid w:val="002A3E9E"/>
    <w:rsid w:val="002D32DD"/>
    <w:rsid w:val="00303B54"/>
    <w:rsid w:val="00323207"/>
    <w:rsid w:val="00323F00"/>
    <w:rsid w:val="00336944"/>
    <w:rsid w:val="00340EB7"/>
    <w:rsid w:val="00342D7F"/>
    <w:rsid w:val="003476D9"/>
    <w:rsid w:val="00351B43"/>
    <w:rsid w:val="0036014C"/>
    <w:rsid w:val="00361D67"/>
    <w:rsid w:val="00377768"/>
    <w:rsid w:val="0038767C"/>
    <w:rsid w:val="00391BFD"/>
    <w:rsid w:val="003A2A66"/>
    <w:rsid w:val="003C0575"/>
    <w:rsid w:val="003C05D6"/>
    <w:rsid w:val="003C383A"/>
    <w:rsid w:val="003D0B58"/>
    <w:rsid w:val="003E2398"/>
    <w:rsid w:val="003E3855"/>
    <w:rsid w:val="003E4DE7"/>
    <w:rsid w:val="003E6AA2"/>
    <w:rsid w:val="003F117F"/>
    <w:rsid w:val="003F4693"/>
    <w:rsid w:val="0040055C"/>
    <w:rsid w:val="00406727"/>
    <w:rsid w:val="00413CFF"/>
    <w:rsid w:val="00414F9E"/>
    <w:rsid w:val="00422530"/>
    <w:rsid w:val="0042290B"/>
    <w:rsid w:val="004367E5"/>
    <w:rsid w:val="00447E26"/>
    <w:rsid w:val="004549D9"/>
    <w:rsid w:val="00466442"/>
    <w:rsid w:val="00467B44"/>
    <w:rsid w:val="00470AA8"/>
    <w:rsid w:val="00471D34"/>
    <w:rsid w:val="00472CEE"/>
    <w:rsid w:val="00475A40"/>
    <w:rsid w:val="00476DEB"/>
    <w:rsid w:val="00497094"/>
    <w:rsid w:val="004A17C3"/>
    <w:rsid w:val="004B4ED7"/>
    <w:rsid w:val="004C0B64"/>
    <w:rsid w:val="004C4C79"/>
    <w:rsid w:val="004E072D"/>
    <w:rsid w:val="004E4BD1"/>
    <w:rsid w:val="004F1CB5"/>
    <w:rsid w:val="004F506D"/>
    <w:rsid w:val="004F636A"/>
    <w:rsid w:val="00500122"/>
    <w:rsid w:val="005015D3"/>
    <w:rsid w:val="00513D08"/>
    <w:rsid w:val="005261A5"/>
    <w:rsid w:val="00527520"/>
    <w:rsid w:val="0053425F"/>
    <w:rsid w:val="005431A0"/>
    <w:rsid w:val="005439AD"/>
    <w:rsid w:val="00555D06"/>
    <w:rsid w:val="00564FFC"/>
    <w:rsid w:val="00581507"/>
    <w:rsid w:val="005A49E2"/>
    <w:rsid w:val="005B05CF"/>
    <w:rsid w:val="005B75EF"/>
    <w:rsid w:val="005B7BFC"/>
    <w:rsid w:val="005C561A"/>
    <w:rsid w:val="005C6847"/>
    <w:rsid w:val="005C69C7"/>
    <w:rsid w:val="005D1B27"/>
    <w:rsid w:val="005E3109"/>
    <w:rsid w:val="006231F1"/>
    <w:rsid w:val="00625E6D"/>
    <w:rsid w:val="00632052"/>
    <w:rsid w:val="00633ECC"/>
    <w:rsid w:val="00640881"/>
    <w:rsid w:val="006440AA"/>
    <w:rsid w:val="00650706"/>
    <w:rsid w:val="006664D2"/>
    <w:rsid w:val="0066653A"/>
    <w:rsid w:val="0067484D"/>
    <w:rsid w:val="00684ABF"/>
    <w:rsid w:val="006854BA"/>
    <w:rsid w:val="006A6D4B"/>
    <w:rsid w:val="006B1BB6"/>
    <w:rsid w:val="006B4448"/>
    <w:rsid w:val="006D7399"/>
    <w:rsid w:val="006F29F8"/>
    <w:rsid w:val="006F60AD"/>
    <w:rsid w:val="00714567"/>
    <w:rsid w:val="00715CF1"/>
    <w:rsid w:val="00716C58"/>
    <w:rsid w:val="007233F0"/>
    <w:rsid w:val="0073257D"/>
    <w:rsid w:val="00736BEE"/>
    <w:rsid w:val="00742D4D"/>
    <w:rsid w:val="0076591D"/>
    <w:rsid w:val="0078407B"/>
    <w:rsid w:val="007A1525"/>
    <w:rsid w:val="007B417A"/>
    <w:rsid w:val="007B64A3"/>
    <w:rsid w:val="007C2A21"/>
    <w:rsid w:val="007C2D02"/>
    <w:rsid w:val="007E4FC0"/>
    <w:rsid w:val="007F276F"/>
    <w:rsid w:val="008138A5"/>
    <w:rsid w:val="00817A51"/>
    <w:rsid w:val="00831995"/>
    <w:rsid w:val="00845872"/>
    <w:rsid w:val="008475AC"/>
    <w:rsid w:val="008539CC"/>
    <w:rsid w:val="00855E94"/>
    <w:rsid w:val="008577CB"/>
    <w:rsid w:val="00860A41"/>
    <w:rsid w:val="0086252A"/>
    <w:rsid w:val="00865868"/>
    <w:rsid w:val="008703BD"/>
    <w:rsid w:val="00873470"/>
    <w:rsid w:val="008A4D55"/>
    <w:rsid w:val="008E4FB3"/>
    <w:rsid w:val="008E7975"/>
    <w:rsid w:val="008F11CC"/>
    <w:rsid w:val="008F5570"/>
    <w:rsid w:val="00914D1C"/>
    <w:rsid w:val="00921B0E"/>
    <w:rsid w:val="00926E80"/>
    <w:rsid w:val="00937C5C"/>
    <w:rsid w:val="00943DB0"/>
    <w:rsid w:val="00944745"/>
    <w:rsid w:val="00956D3F"/>
    <w:rsid w:val="0096768D"/>
    <w:rsid w:val="00970A39"/>
    <w:rsid w:val="0097587F"/>
    <w:rsid w:val="00991714"/>
    <w:rsid w:val="009944E3"/>
    <w:rsid w:val="0099726A"/>
    <w:rsid w:val="009973F4"/>
    <w:rsid w:val="009A6A34"/>
    <w:rsid w:val="009B03F4"/>
    <w:rsid w:val="009B4013"/>
    <w:rsid w:val="009C5512"/>
    <w:rsid w:val="009C6790"/>
    <w:rsid w:val="009C7FEA"/>
    <w:rsid w:val="009D0489"/>
    <w:rsid w:val="009D23F0"/>
    <w:rsid w:val="009E2125"/>
    <w:rsid w:val="009F0FEF"/>
    <w:rsid w:val="009F53CF"/>
    <w:rsid w:val="00A35CDB"/>
    <w:rsid w:val="00A35E14"/>
    <w:rsid w:val="00A52D70"/>
    <w:rsid w:val="00A56B0C"/>
    <w:rsid w:val="00A578CD"/>
    <w:rsid w:val="00A7152A"/>
    <w:rsid w:val="00A71915"/>
    <w:rsid w:val="00A72300"/>
    <w:rsid w:val="00A74484"/>
    <w:rsid w:val="00A84EE9"/>
    <w:rsid w:val="00AA3553"/>
    <w:rsid w:val="00AB0D39"/>
    <w:rsid w:val="00AB40B4"/>
    <w:rsid w:val="00AE4F6E"/>
    <w:rsid w:val="00AF2E1E"/>
    <w:rsid w:val="00AF2F5D"/>
    <w:rsid w:val="00B17FC7"/>
    <w:rsid w:val="00B33274"/>
    <w:rsid w:val="00B535CB"/>
    <w:rsid w:val="00B8228E"/>
    <w:rsid w:val="00B84888"/>
    <w:rsid w:val="00B96B6E"/>
    <w:rsid w:val="00BA008D"/>
    <w:rsid w:val="00BA6F2B"/>
    <w:rsid w:val="00BB0891"/>
    <w:rsid w:val="00BC5B4E"/>
    <w:rsid w:val="00BE0703"/>
    <w:rsid w:val="00BE3143"/>
    <w:rsid w:val="00BE6B77"/>
    <w:rsid w:val="00C02F40"/>
    <w:rsid w:val="00C1265E"/>
    <w:rsid w:val="00C13C27"/>
    <w:rsid w:val="00C20EB2"/>
    <w:rsid w:val="00C35634"/>
    <w:rsid w:val="00C369D5"/>
    <w:rsid w:val="00C439A6"/>
    <w:rsid w:val="00C4598F"/>
    <w:rsid w:val="00C47CBF"/>
    <w:rsid w:val="00C70F82"/>
    <w:rsid w:val="00C73741"/>
    <w:rsid w:val="00C7780F"/>
    <w:rsid w:val="00CA50B0"/>
    <w:rsid w:val="00CA61B2"/>
    <w:rsid w:val="00CB506D"/>
    <w:rsid w:val="00CC0A96"/>
    <w:rsid w:val="00CC0D7E"/>
    <w:rsid w:val="00CC2F65"/>
    <w:rsid w:val="00CC754D"/>
    <w:rsid w:val="00CF7D2B"/>
    <w:rsid w:val="00D21F0B"/>
    <w:rsid w:val="00D37751"/>
    <w:rsid w:val="00D419EF"/>
    <w:rsid w:val="00D41BB6"/>
    <w:rsid w:val="00D51A8F"/>
    <w:rsid w:val="00D60106"/>
    <w:rsid w:val="00D8116F"/>
    <w:rsid w:val="00D978DC"/>
    <w:rsid w:val="00DC456D"/>
    <w:rsid w:val="00DD257F"/>
    <w:rsid w:val="00DD6EE4"/>
    <w:rsid w:val="00DE2BFC"/>
    <w:rsid w:val="00DE4078"/>
    <w:rsid w:val="00DF251F"/>
    <w:rsid w:val="00DF3E4B"/>
    <w:rsid w:val="00E017FD"/>
    <w:rsid w:val="00E35B8B"/>
    <w:rsid w:val="00E467A3"/>
    <w:rsid w:val="00E60E2F"/>
    <w:rsid w:val="00E650FD"/>
    <w:rsid w:val="00E71288"/>
    <w:rsid w:val="00E7195F"/>
    <w:rsid w:val="00E91823"/>
    <w:rsid w:val="00EA57DF"/>
    <w:rsid w:val="00EA751D"/>
    <w:rsid w:val="00EB5C2B"/>
    <w:rsid w:val="00ED166E"/>
    <w:rsid w:val="00ED3DC6"/>
    <w:rsid w:val="00EE276F"/>
    <w:rsid w:val="00EF65EA"/>
    <w:rsid w:val="00F12731"/>
    <w:rsid w:val="00F16C26"/>
    <w:rsid w:val="00F43B4F"/>
    <w:rsid w:val="00F54D55"/>
    <w:rsid w:val="00F664FB"/>
    <w:rsid w:val="00F72826"/>
    <w:rsid w:val="00FA33E0"/>
    <w:rsid w:val="00FB25C7"/>
    <w:rsid w:val="00FB5699"/>
    <w:rsid w:val="00FC7713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9AA0"/>
  <w15:docId w15:val="{BBF359CC-296F-4307-8317-9079A9C9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9D9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319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C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A6D4B"/>
    <w:rPr>
      <w:b/>
      <w:bCs/>
    </w:rPr>
  </w:style>
  <w:style w:type="character" w:styleId="a6">
    <w:name w:val="Hyperlink"/>
    <w:basedOn w:val="a0"/>
    <w:uiPriority w:val="99"/>
    <w:unhideWhenUsed/>
    <w:rsid w:val="008A4D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1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xmsonormal">
    <w:name w:val="x_msonormal"/>
    <w:basedOn w:val="a"/>
    <w:rsid w:val="006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s-alignment-element">
    <w:name w:val="ts-alignment-element"/>
    <w:basedOn w:val="a0"/>
    <w:rsid w:val="00BE6B77"/>
  </w:style>
  <w:style w:type="character" w:customStyle="1" w:styleId="30">
    <w:name w:val="Заголовок 3 Знак"/>
    <w:basedOn w:val="a0"/>
    <w:link w:val="3"/>
    <w:uiPriority w:val="9"/>
    <w:rsid w:val="00A35C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xxmsonormal">
    <w:name w:val="x_xmsonormal"/>
    <w:basedOn w:val="a"/>
    <w:rsid w:val="0096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9D04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04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0489"/>
    <w:rPr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04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0489"/>
    <w:rPr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D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0489"/>
    <w:rPr>
      <w:rFonts w:ascii="Tahoma" w:hAnsi="Tahoma" w:cs="Tahoma"/>
      <w:sz w:val="16"/>
      <w:szCs w:val="1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F251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HTML">
    <w:name w:val="HTML Address"/>
    <w:basedOn w:val="a"/>
    <w:link w:val="HTML0"/>
    <w:uiPriority w:val="99"/>
    <w:semiHidden/>
    <w:unhideWhenUsed/>
    <w:rsid w:val="005261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261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el">
    <w:name w:val="tel"/>
    <w:basedOn w:val="a0"/>
    <w:rsid w:val="005261A5"/>
  </w:style>
  <w:style w:type="character" w:styleId="ae">
    <w:name w:val="FollowedHyperlink"/>
    <w:basedOn w:val="a0"/>
    <w:uiPriority w:val="99"/>
    <w:semiHidden/>
    <w:unhideWhenUsed/>
    <w:rsid w:val="0022585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68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013"/>
    <w:rPr>
      <w:color w:val="605E5C"/>
      <w:shd w:val="clear" w:color="auto" w:fill="E1DFDD"/>
    </w:rPr>
  </w:style>
  <w:style w:type="character" w:customStyle="1" w:styleId="fa">
    <w:name w:val="fa"/>
    <w:basedOn w:val="a0"/>
    <w:rsid w:val="009B4013"/>
  </w:style>
  <w:style w:type="character" w:customStyle="1" w:styleId="person-appointment-title">
    <w:name w:val="person-appointment-title"/>
    <w:basedOn w:val="a0"/>
    <w:rsid w:val="00BE0703"/>
  </w:style>
  <w:style w:type="character" w:customStyle="1" w:styleId="b">
    <w:name w:val="b"/>
    <w:basedOn w:val="a0"/>
    <w:rsid w:val="00BE0703"/>
  </w:style>
  <w:style w:type="character" w:customStyle="1" w:styleId="markgkcw1xy4z">
    <w:name w:val="markgkcw1xy4z"/>
    <w:basedOn w:val="a0"/>
    <w:rsid w:val="00D978DC"/>
  </w:style>
  <w:style w:type="character" w:customStyle="1" w:styleId="markf7kbbp37r">
    <w:name w:val="markf7kbbp37r"/>
    <w:basedOn w:val="a0"/>
    <w:rsid w:val="00E35B8B"/>
  </w:style>
  <w:style w:type="character" w:customStyle="1" w:styleId="mark060wa1ph5">
    <w:name w:val="mark060wa1ph5"/>
    <w:basedOn w:val="a0"/>
    <w:rsid w:val="00E35B8B"/>
  </w:style>
  <w:style w:type="character" w:customStyle="1" w:styleId="markicpqh8xei">
    <w:name w:val="markicpqh8xei"/>
    <w:basedOn w:val="a0"/>
    <w:rsid w:val="00970A39"/>
  </w:style>
  <w:style w:type="character" w:customStyle="1" w:styleId="markz43twe5lf">
    <w:name w:val="markz43twe5lf"/>
    <w:basedOn w:val="a0"/>
    <w:rsid w:val="00970A39"/>
  </w:style>
  <w:style w:type="character" w:customStyle="1" w:styleId="marktf23fp35l">
    <w:name w:val="marktf23fp35l"/>
    <w:basedOn w:val="a0"/>
    <w:rsid w:val="00E71288"/>
  </w:style>
  <w:style w:type="character" w:customStyle="1" w:styleId="21">
    <w:name w:val="Неразрешенное упоминание2"/>
    <w:basedOn w:val="a0"/>
    <w:uiPriority w:val="99"/>
    <w:semiHidden/>
    <w:unhideWhenUsed/>
    <w:rsid w:val="00BA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7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3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20ital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AC08-46E6-4F87-B811-5802486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</dc:creator>
  <cp:lastModifiedBy>Kolmar Olga</cp:lastModifiedBy>
  <cp:revision>2</cp:revision>
  <cp:lastPrinted>2021-06-23T18:22:00Z</cp:lastPrinted>
  <dcterms:created xsi:type="dcterms:W3CDTF">2021-10-12T10:52:00Z</dcterms:created>
  <dcterms:modified xsi:type="dcterms:W3CDTF">2021-10-12T10:52:00Z</dcterms:modified>
</cp:coreProperties>
</file>